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A79" w:rsidRPr="00A43A79" w:rsidRDefault="00A43A79" w:rsidP="00A43A79">
      <w:pPr>
        <w:pStyle w:val="Text"/>
        <w:spacing w:line="288" w:lineRule="auto"/>
        <w:jc w:val="both"/>
        <w:rPr>
          <w:rFonts w:ascii="Times New Roman" w:eastAsia="Times New Roman" w:hAnsi="Times New Roman" w:cs="Times New Roman"/>
          <w:color w:val="000000" w:themeColor="text1"/>
          <w:sz w:val="24"/>
          <w:szCs w:val="24"/>
        </w:rPr>
      </w:pPr>
      <w:r w:rsidRPr="00A43A79">
        <w:rPr>
          <w:rFonts w:ascii="Times New Roman" w:hAnsi="Times New Roman" w:cs="Times New Roman"/>
          <w:color w:val="000000" w:themeColor="text1"/>
          <w:sz w:val="24"/>
          <w:szCs w:val="24"/>
        </w:rPr>
        <w:t>Con base en</w:t>
      </w:r>
      <w:r w:rsidRPr="00A43A79">
        <w:rPr>
          <w:rFonts w:ascii="Times New Roman" w:hAnsi="Times New Roman" w:cs="Times New Roman"/>
          <w:color w:val="000000" w:themeColor="text1"/>
          <w:sz w:val="24"/>
          <w:szCs w:val="24"/>
          <w:lang w:val="es-ES_tradnl"/>
        </w:rPr>
        <w:t xml:space="preserve"> los datos disponibles del Centro Europeo para la Prevención y el Control de Enfermedades (ECDC), el Ministerio de Sanidad ha actualizado la lista de pa</w:t>
      </w:r>
      <w:r w:rsidRPr="00A43A79">
        <w:rPr>
          <w:rFonts w:ascii="Times New Roman" w:hAnsi="Times New Roman" w:cs="Times New Roman"/>
          <w:color w:val="000000" w:themeColor="text1"/>
          <w:sz w:val="24"/>
          <w:szCs w:val="24"/>
        </w:rPr>
        <w:t>í</w:t>
      </w:r>
      <w:r w:rsidRPr="00A43A79">
        <w:rPr>
          <w:rFonts w:ascii="Times New Roman" w:hAnsi="Times New Roman" w:cs="Times New Roman"/>
          <w:color w:val="000000" w:themeColor="text1"/>
          <w:sz w:val="24"/>
          <w:szCs w:val="24"/>
          <w:lang w:val="pt-PT"/>
        </w:rPr>
        <w:t>ses seg</w:t>
      </w:r>
      <w:r w:rsidRPr="00A43A79">
        <w:rPr>
          <w:rFonts w:ascii="Times New Roman" w:hAnsi="Times New Roman" w:cs="Times New Roman"/>
          <w:color w:val="000000" w:themeColor="text1"/>
          <w:sz w:val="24"/>
          <w:szCs w:val="24"/>
        </w:rPr>
        <w:t>ú</w:t>
      </w:r>
      <w:r w:rsidRPr="00A43A79">
        <w:rPr>
          <w:rFonts w:ascii="Times New Roman" w:hAnsi="Times New Roman" w:cs="Times New Roman"/>
          <w:color w:val="000000" w:themeColor="text1"/>
          <w:sz w:val="24"/>
          <w:szCs w:val="24"/>
          <w:lang w:val="es-ES_tradnl"/>
        </w:rPr>
        <w:t xml:space="preserve">n el grado de riesgo de la </w:t>
      </w:r>
      <w:r w:rsidRPr="00A43A79">
        <w:rPr>
          <w:rFonts w:ascii="Times New Roman" w:hAnsi="Times New Roman" w:cs="Times New Roman"/>
          <w:color w:val="000000" w:themeColor="text1"/>
          <w:sz w:val="24"/>
          <w:szCs w:val="24"/>
        </w:rPr>
        <w:t>infección</w:t>
      </w:r>
      <w:r w:rsidRPr="00A43A79">
        <w:rPr>
          <w:rFonts w:ascii="Times New Roman" w:hAnsi="Times New Roman" w:cs="Times New Roman"/>
          <w:color w:val="000000" w:themeColor="text1"/>
          <w:sz w:val="24"/>
          <w:szCs w:val="24"/>
          <w:lang w:val="es-ES_tradnl"/>
        </w:rPr>
        <w:t xml:space="preserve"> a partir del lunes 26 de julio. </w:t>
      </w:r>
    </w:p>
    <w:p w:rsidR="00A43A79" w:rsidRPr="00A43A79" w:rsidRDefault="00A43A79" w:rsidP="00A43A79">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color w:val="000000" w:themeColor="text1"/>
        </w:rPr>
      </w:pPr>
    </w:p>
    <w:p w:rsidR="00A43A79" w:rsidRPr="00A43A79" w:rsidRDefault="00A43A79" w:rsidP="00A43A79">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color w:val="000000" w:themeColor="text1"/>
        </w:rPr>
      </w:pPr>
      <w:r w:rsidRPr="00A43A79">
        <w:rPr>
          <w:rFonts w:ascii="Times New Roman" w:hAnsi="Times New Roman" w:cs="Times New Roman"/>
          <w:color w:val="000000" w:themeColor="text1"/>
          <w:lang w:val="es-ES_tradnl"/>
        </w:rPr>
        <w:t>La lista de pa</w:t>
      </w:r>
      <w:r w:rsidRPr="00A43A79">
        <w:rPr>
          <w:rFonts w:ascii="Times New Roman" w:hAnsi="Times New Roman" w:cs="Times New Roman"/>
          <w:color w:val="000000" w:themeColor="text1"/>
        </w:rPr>
        <w:t>í</w:t>
      </w:r>
      <w:r w:rsidRPr="00A43A79">
        <w:rPr>
          <w:rFonts w:ascii="Times New Roman" w:hAnsi="Times New Roman" w:cs="Times New Roman"/>
          <w:color w:val="000000" w:themeColor="text1"/>
          <w:lang w:val="pt-PT"/>
        </w:rPr>
        <w:t>ses seg</w:t>
      </w:r>
      <w:r w:rsidRPr="00A43A79">
        <w:rPr>
          <w:rFonts w:ascii="Times New Roman" w:hAnsi="Times New Roman" w:cs="Times New Roman"/>
          <w:color w:val="000000" w:themeColor="text1"/>
        </w:rPr>
        <w:t>ú</w:t>
      </w:r>
      <w:r w:rsidRPr="00A43A79">
        <w:rPr>
          <w:rFonts w:ascii="Times New Roman" w:hAnsi="Times New Roman" w:cs="Times New Roman"/>
          <w:color w:val="000000" w:themeColor="text1"/>
          <w:lang w:val="es-ES_tradnl"/>
        </w:rPr>
        <w:t>n su grado de riesgo de infección por COVID-19 distingue 5 categor</w:t>
      </w:r>
      <w:r w:rsidRPr="00A43A79">
        <w:rPr>
          <w:rFonts w:ascii="Times New Roman" w:hAnsi="Times New Roman" w:cs="Times New Roman"/>
          <w:color w:val="000000" w:themeColor="text1"/>
        </w:rPr>
        <w:t>í</w:t>
      </w:r>
      <w:r w:rsidRPr="00A43A79">
        <w:rPr>
          <w:rFonts w:ascii="Times New Roman" w:hAnsi="Times New Roman" w:cs="Times New Roman"/>
          <w:color w:val="000000" w:themeColor="text1"/>
          <w:lang w:val="pt-PT"/>
        </w:rPr>
        <w:t>as de pa</w:t>
      </w:r>
      <w:r w:rsidRPr="00A43A79">
        <w:rPr>
          <w:rFonts w:ascii="Times New Roman" w:hAnsi="Times New Roman" w:cs="Times New Roman"/>
          <w:color w:val="000000" w:themeColor="text1"/>
        </w:rPr>
        <w:t xml:space="preserve">íses </w:t>
      </w:r>
      <w:r w:rsidRPr="00A43A79">
        <w:rPr>
          <w:rFonts w:ascii="Times New Roman" w:eastAsia="Times New Roman" w:hAnsi="Times New Roman" w:cs="Times New Roman"/>
        </w:rPr>
        <w:t>a los que están vinculadas las medidas anti epidemiológicas pertinentes al regresar a la República Checa.  </w:t>
      </w:r>
    </w:p>
    <w:p w:rsidR="00A43A79" w:rsidRPr="00A43A79" w:rsidRDefault="00A43A79" w:rsidP="00A43A79">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color w:val="383838"/>
        </w:rPr>
      </w:pPr>
      <w:r w:rsidRPr="00A43A79">
        <w:rPr>
          <w:rFonts w:ascii="Times New Roman" w:hAnsi="Times New Roman" w:cs="Times New Roman"/>
          <w:color w:val="383838"/>
        </w:rPr>
        <w:t> </w:t>
      </w:r>
    </w:p>
    <w:p w:rsidR="00A43A79" w:rsidRPr="00A43A79" w:rsidRDefault="00A43A79" w:rsidP="00A43A79">
      <w:pPr>
        <w:pStyle w:val="Vchoz"/>
        <w:numPr>
          <w:ilvl w:val="0"/>
          <w:numId w:val="2"/>
        </w:numPr>
        <w:spacing w:before="0" w:line="240" w:lineRule="auto"/>
        <w:ind w:right="232"/>
        <w:jc w:val="both"/>
        <w:rPr>
          <w:rFonts w:ascii="Times New Roman" w:hAnsi="Times New Roman" w:cs="Times New Roman"/>
          <w:b/>
          <w:bCs/>
        </w:rPr>
      </w:pPr>
      <w:r w:rsidRPr="00A43A79">
        <w:rPr>
          <w:rFonts w:ascii="Times New Roman" w:hAnsi="Times New Roman" w:cs="Times New Roman"/>
          <w:b/>
          <w:bCs/>
        </w:rPr>
        <w:t>paí</w:t>
      </w:r>
      <w:r w:rsidRPr="00A43A79">
        <w:rPr>
          <w:rFonts w:ascii="Times New Roman" w:hAnsi="Times New Roman" w:cs="Times New Roman"/>
          <w:b/>
          <w:bCs/>
          <w:lang w:val="es-ES_tradnl"/>
        </w:rPr>
        <w:t>ses de bajo riesgo (verde)</w:t>
      </w:r>
      <w:r w:rsidRPr="00A43A79">
        <w:rPr>
          <w:rFonts w:ascii="Times New Roman" w:hAnsi="Times New Roman" w:cs="Times New Roman"/>
          <w:b/>
          <w:bCs/>
        </w:rPr>
        <w:t> </w:t>
      </w:r>
    </w:p>
    <w:p w:rsidR="00A43A79" w:rsidRPr="00A43A79" w:rsidRDefault="00A43A79" w:rsidP="00A43A79">
      <w:pPr>
        <w:pStyle w:val="Vchoz"/>
        <w:numPr>
          <w:ilvl w:val="0"/>
          <w:numId w:val="2"/>
        </w:numPr>
        <w:spacing w:before="0" w:line="240" w:lineRule="auto"/>
        <w:ind w:right="232"/>
        <w:jc w:val="both"/>
        <w:rPr>
          <w:rFonts w:ascii="Times New Roman" w:hAnsi="Times New Roman" w:cs="Times New Roman"/>
          <w:b/>
          <w:bCs/>
        </w:rPr>
      </w:pPr>
      <w:r w:rsidRPr="00A43A79">
        <w:rPr>
          <w:rFonts w:ascii="Times New Roman" w:hAnsi="Times New Roman" w:cs="Times New Roman"/>
          <w:b/>
          <w:bCs/>
        </w:rPr>
        <w:t>paí</w:t>
      </w:r>
      <w:r w:rsidRPr="00A43A79">
        <w:rPr>
          <w:rFonts w:ascii="Times New Roman" w:hAnsi="Times New Roman" w:cs="Times New Roman"/>
          <w:b/>
          <w:bCs/>
          <w:lang w:val="es-ES_tradnl"/>
        </w:rPr>
        <w:t>ses de riesgo mediano (naranja)</w:t>
      </w:r>
      <w:r w:rsidRPr="00A43A79">
        <w:rPr>
          <w:rFonts w:ascii="Times New Roman" w:hAnsi="Times New Roman" w:cs="Times New Roman"/>
          <w:b/>
          <w:bCs/>
        </w:rPr>
        <w:t> </w:t>
      </w:r>
    </w:p>
    <w:p w:rsidR="00A43A79" w:rsidRPr="00A43A79" w:rsidRDefault="00A43A79" w:rsidP="00A43A79">
      <w:pPr>
        <w:pStyle w:val="Vchoz"/>
        <w:numPr>
          <w:ilvl w:val="0"/>
          <w:numId w:val="2"/>
        </w:numPr>
        <w:spacing w:before="0" w:line="240" w:lineRule="auto"/>
        <w:ind w:right="232"/>
        <w:jc w:val="both"/>
        <w:rPr>
          <w:rFonts w:ascii="Times New Roman" w:hAnsi="Times New Roman" w:cs="Times New Roman"/>
          <w:b/>
          <w:bCs/>
        </w:rPr>
      </w:pPr>
      <w:r w:rsidRPr="00A43A79">
        <w:rPr>
          <w:rFonts w:ascii="Times New Roman" w:hAnsi="Times New Roman" w:cs="Times New Roman"/>
          <w:b/>
          <w:bCs/>
        </w:rPr>
        <w:t>paí</w:t>
      </w:r>
      <w:r w:rsidRPr="00A43A79">
        <w:rPr>
          <w:rFonts w:ascii="Times New Roman" w:hAnsi="Times New Roman" w:cs="Times New Roman"/>
          <w:b/>
          <w:bCs/>
          <w:lang w:val="es-ES_tradnl"/>
        </w:rPr>
        <w:t>ses de alto riesgo (rojo)</w:t>
      </w:r>
      <w:r w:rsidRPr="00A43A79">
        <w:rPr>
          <w:rFonts w:ascii="Times New Roman" w:hAnsi="Times New Roman" w:cs="Times New Roman"/>
          <w:b/>
          <w:bCs/>
        </w:rPr>
        <w:t> </w:t>
      </w:r>
    </w:p>
    <w:p w:rsidR="00A43A79" w:rsidRPr="00A43A79" w:rsidRDefault="00A43A79" w:rsidP="00A43A79">
      <w:pPr>
        <w:pStyle w:val="Vchoz"/>
        <w:numPr>
          <w:ilvl w:val="0"/>
          <w:numId w:val="2"/>
        </w:numPr>
        <w:spacing w:before="0" w:line="240" w:lineRule="auto"/>
        <w:ind w:right="232"/>
        <w:jc w:val="both"/>
        <w:rPr>
          <w:rFonts w:ascii="Times New Roman" w:hAnsi="Times New Roman" w:cs="Times New Roman"/>
          <w:b/>
          <w:bCs/>
        </w:rPr>
      </w:pPr>
      <w:r w:rsidRPr="00A43A79">
        <w:rPr>
          <w:rFonts w:ascii="Times New Roman" w:hAnsi="Times New Roman" w:cs="Times New Roman"/>
          <w:b/>
          <w:bCs/>
        </w:rPr>
        <w:t>paí</w:t>
      </w:r>
      <w:r w:rsidRPr="00A43A79">
        <w:rPr>
          <w:rFonts w:ascii="Times New Roman" w:hAnsi="Times New Roman" w:cs="Times New Roman"/>
          <w:b/>
          <w:bCs/>
          <w:lang w:val="es-ES_tradnl"/>
        </w:rPr>
        <w:t>ses con muy alta infección por COVID-19 (rojo oscuro)</w:t>
      </w:r>
    </w:p>
    <w:p w:rsidR="00A43A79" w:rsidRPr="00A43A79" w:rsidRDefault="00A43A79" w:rsidP="00A43A79">
      <w:pPr>
        <w:spacing w:line="276" w:lineRule="auto"/>
        <w:jc w:val="both"/>
        <w:rPr>
          <w:rFonts w:eastAsia="Times New Roman"/>
        </w:rPr>
      </w:pPr>
    </w:p>
    <w:p w:rsidR="00A43A79" w:rsidRPr="00A43A79" w:rsidRDefault="00A43A79" w:rsidP="00A43A79">
      <w:pPr>
        <w:jc w:val="both"/>
        <w:rPr>
          <w:rFonts w:eastAsia="Times New Roman"/>
        </w:rPr>
      </w:pPr>
    </w:p>
    <w:p w:rsidR="00A43A79" w:rsidRPr="00A43A79" w:rsidRDefault="00A43A79" w:rsidP="00A43A79">
      <w:pPr>
        <w:jc w:val="both"/>
        <w:rPr>
          <w:rFonts w:eastAsia="Times New Roman"/>
        </w:rPr>
      </w:pPr>
      <w:r w:rsidRPr="00A43A79">
        <w:rPr>
          <w:rFonts w:eastAsia="Times New Roman"/>
        </w:rPr>
        <w:t xml:space="preserve">Holanda y </w:t>
      </w:r>
      <w:r w:rsidRPr="003153DB">
        <w:rPr>
          <w:rFonts w:eastAsia="Times New Roman"/>
          <w:b/>
          <w:u w:val="single"/>
        </w:rPr>
        <w:t>España, incluidas las Islas Baleares, pasarán</w:t>
      </w:r>
      <w:r w:rsidRPr="003153DB">
        <w:rPr>
          <w:rFonts w:eastAsia="Times New Roman"/>
          <w:b/>
        </w:rPr>
        <w:t xml:space="preserve"> </w:t>
      </w:r>
      <w:r w:rsidR="00C73C53">
        <w:rPr>
          <w:rFonts w:eastAsia="Times New Roman"/>
          <w:b/>
          <w:color w:val="FF0000"/>
        </w:rPr>
        <w:t>a la categoría rojo oscura</w:t>
      </w:r>
      <w:r w:rsidRPr="00A43A79">
        <w:rPr>
          <w:rFonts w:eastAsia="Times New Roman"/>
        </w:rPr>
        <w:t xml:space="preserve">.  La categoría roja </w:t>
      </w:r>
      <w:r>
        <w:rPr>
          <w:rFonts w:eastAsia="Times New Roman"/>
        </w:rPr>
        <w:t>incluirá también a Irlanda, Mónaco y Grecia.</w:t>
      </w:r>
      <w:r w:rsidRPr="00A43A79">
        <w:rPr>
          <w:rFonts w:eastAsia="Times New Roman"/>
        </w:rPr>
        <w:t> Estonia será naranja.</w:t>
      </w:r>
    </w:p>
    <w:p w:rsidR="00A43A79" w:rsidRPr="00A43A79" w:rsidRDefault="00A43A79" w:rsidP="00A43A79">
      <w:pPr>
        <w:jc w:val="both"/>
        <w:rPr>
          <w:rFonts w:eastAsia="Times New Roman"/>
        </w:rPr>
      </w:pPr>
    </w:p>
    <w:p w:rsidR="00A43A79" w:rsidRPr="00A43A79" w:rsidRDefault="00A43A79" w:rsidP="00A43A79">
      <w:pPr>
        <w:jc w:val="both"/>
        <w:rPr>
          <w:rFonts w:eastAsia="Times New Roman"/>
        </w:rPr>
      </w:pPr>
      <w:r>
        <w:rPr>
          <w:rFonts w:eastAsia="Times New Roman"/>
        </w:rPr>
        <w:t xml:space="preserve">Los países de bajo riesgo (verde) incluyen a </w:t>
      </w:r>
      <w:r w:rsidRPr="00A43A79">
        <w:rPr>
          <w:rFonts w:eastAsia="Times New Roman"/>
        </w:rPr>
        <w:t xml:space="preserve">Albania, Bulgaria, Bosnia y Herzegovina, Croacia, Montenegro, Islandia, Italia, Kosovo, Letonia, Lituania, Hungría, Alemania, Noruega, Polonia, Austria, </w:t>
      </w:r>
      <w:r>
        <w:rPr>
          <w:rFonts w:eastAsia="Times New Roman"/>
        </w:rPr>
        <w:t xml:space="preserve">San Marino, Macedonia del Norte, </w:t>
      </w:r>
      <w:r w:rsidRPr="00A43A79">
        <w:rPr>
          <w:rFonts w:eastAsia="Times New Roman"/>
        </w:rPr>
        <w:t>Rumania, Eslovaquia, Eslovenia, Serbia, Suecia, Suiza y el Estado de la Ciudad del Vaticano.  De países no europeos o partes de ellos, Australia, Hong Kong, Israel, Japón, Corea, Canadá, Líbano, Macao, Nueva Zelanda, Singapur, Estados Unidos, Tailandia o Taiwán.</w:t>
      </w:r>
    </w:p>
    <w:p w:rsidR="00A43A79" w:rsidRPr="00A43A79" w:rsidRDefault="00A43A79" w:rsidP="00A43A79">
      <w:pPr>
        <w:jc w:val="both"/>
        <w:rPr>
          <w:rFonts w:eastAsia="Times New Roman"/>
        </w:rPr>
      </w:pPr>
    </w:p>
    <w:p w:rsidR="00A43A79" w:rsidRPr="00A43A79" w:rsidRDefault="00A43A79" w:rsidP="00A43A79">
      <w:pPr>
        <w:jc w:val="both"/>
        <w:rPr>
          <w:rFonts w:eastAsia="Times New Roman"/>
        </w:rPr>
      </w:pPr>
      <w:r w:rsidRPr="00A43A79">
        <w:rPr>
          <w:rFonts w:eastAsia="Times New Roman"/>
        </w:rPr>
        <w:t>Otra categoría son los países con un riesgo medio de infección (categoría naranja).  Esta categoría de países incluye a Bélgica, Dinamarca, Estonia, Finlandia, Francia, Liechtenstein y Madeira.</w:t>
      </w:r>
    </w:p>
    <w:p w:rsidR="00A43A79" w:rsidRDefault="00A43A79" w:rsidP="00A43A79">
      <w:pPr>
        <w:jc w:val="both"/>
        <w:rPr>
          <w:rFonts w:eastAsia="Times New Roman"/>
        </w:rPr>
      </w:pPr>
    </w:p>
    <w:p w:rsidR="00A43A79" w:rsidRPr="00A43A79" w:rsidRDefault="00A43A79" w:rsidP="00A43A79">
      <w:pPr>
        <w:jc w:val="both"/>
        <w:rPr>
          <w:rFonts w:eastAsia="Times New Roman"/>
        </w:rPr>
      </w:pPr>
      <w:r w:rsidRPr="00A43A79">
        <w:rPr>
          <w:rFonts w:eastAsia="Times New Roman"/>
        </w:rPr>
        <w:t>Al regresar de países verdes y naranjas, es necesario completar el formulario de llegada.  Antes de ingresar al territorio de la República Checa o no más tarde de 5 días después de la entrada, es obligatorio someterse a una prueba de antígeno o RT-PCR.</w:t>
      </w:r>
    </w:p>
    <w:p w:rsidR="00A43A79" w:rsidRPr="00A43A79" w:rsidRDefault="00A43A79" w:rsidP="00A43A79">
      <w:pPr>
        <w:jc w:val="both"/>
        <w:rPr>
          <w:rFonts w:eastAsia="Times New Roman"/>
        </w:rPr>
      </w:pPr>
    </w:p>
    <w:p w:rsidR="00A43A79" w:rsidRPr="00A43A79" w:rsidRDefault="006139B8" w:rsidP="00A43A79">
      <w:pPr>
        <w:jc w:val="both"/>
        <w:rPr>
          <w:rFonts w:eastAsia="Times New Roman"/>
        </w:rPr>
      </w:pPr>
      <w:r>
        <w:rPr>
          <w:rFonts w:eastAsia="Times New Roman"/>
        </w:rPr>
        <w:t xml:space="preserve">La </w:t>
      </w:r>
      <w:r w:rsidRPr="004B43AA">
        <w:rPr>
          <w:rFonts w:eastAsia="Times New Roman"/>
          <w:b/>
          <w:color w:val="FF0000"/>
        </w:rPr>
        <w:t xml:space="preserve">categoría de países con alto riesgo de infección (categoría roja) </w:t>
      </w:r>
      <w:r>
        <w:rPr>
          <w:rFonts w:eastAsia="Times New Roman"/>
        </w:rPr>
        <w:t>incluye actualmente</w:t>
      </w:r>
      <w:r w:rsidRPr="00A43A79">
        <w:rPr>
          <w:rFonts w:eastAsia="Times New Roman"/>
        </w:rPr>
        <w:t xml:space="preserve"> </w:t>
      </w:r>
      <w:r>
        <w:rPr>
          <w:rFonts w:eastAsia="Times New Roman"/>
        </w:rPr>
        <w:t>a</w:t>
      </w:r>
      <w:r w:rsidR="00A43A79" w:rsidRPr="00A43A79">
        <w:rPr>
          <w:rFonts w:eastAsia="Times New Roman"/>
        </w:rPr>
        <w:t xml:space="preserve"> Andorra, Irlanda, Malta, Mónaco, Grecia, Luxemburgo, las </w:t>
      </w:r>
      <w:r w:rsidR="00A43A79" w:rsidRPr="003153DB">
        <w:rPr>
          <w:rFonts w:eastAsia="Times New Roman"/>
          <w:b/>
          <w:u w:val="single"/>
        </w:rPr>
        <w:t>Islas Canarias</w:t>
      </w:r>
      <w:r w:rsidR="00A43A79" w:rsidRPr="00A43A79">
        <w:rPr>
          <w:rFonts w:eastAsia="Times New Roman"/>
        </w:rPr>
        <w:t xml:space="preserve"> y Portugal, incl.  Azores.  A partir del 1 de julio, se aplican las mismas reglas para </w:t>
      </w:r>
      <w:r>
        <w:rPr>
          <w:rFonts w:eastAsia="Times New Roman"/>
        </w:rPr>
        <w:t>los regresos</w:t>
      </w:r>
      <w:r w:rsidR="00A43A79" w:rsidRPr="00A43A79">
        <w:rPr>
          <w:rFonts w:eastAsia="Times New Roman"/>
        </w:rPr>
        <w:t xml:space="preserve"> de los países de la categoría roja que para </w:t>
      </w:r>
      <w:r w:rsidR="003153DB">
        <w:rPr>
          <w:rFonts w:eastAsia="Times New Roman"/>
        </w:rPr>
        <w:t>los regresos</w:t>
      </w:r>
      <w:r w:rsidR="00C73C53">
        <w:rPr>
          <w:rFonts w:eastAsia="Times New Roman"/>
        </w:rPr>
        <w:t xml:space="preserve"> de la categoría rojo oscura</w:t>
      </w:r>
      <w:bookmarkStart w:id="0" w:name="_GoBack"/>
      <w:bookmarkEnd w:id="0"/>
      <w:r w:rsidR="00A43A79" w:rsidRPr="00A43A79">
        <w:rPr>
          <w:rFonts w:eastAsia="Times New Roman"/>
        </w:rPr>
        <w:t>.</w:t>
      </w:r>
    </w:p>
    <w:p w:rsidR="003153DB" w:rsidRDefault="003153DB" w:rsidP="003153DB">
      <w:pPr>
        <w:spacing w:line="276" w:lineRule="auto"/>
        <w:jc w:val="both"/>
        <w:rPr>
          <w:rFonts w:eastAsia="Times New Roman"/>
        </w:rPr>
      </w:pPr>
    </w:p>
    <w:p w:rsidR="003153DB" w:rsidRDefault="003153DB" w:rsidP="003153DB">
      <w:pPr>
        <w:spacing w:line="276" w:lineRule="auto"/>
        <w:jc w:val="both"/>
        <w:rPr>
          <w:rFonts w:eastAsia="Times New Roman"/>
        </w:rPr>
      </w:pPr>
      <w:r>
        <w:rPr>
          <w:rFonts w:eastAsia="Times New Roman"/>
        </w:rPr>
        <w:t xml:space="preserve">Las personas que regresan de las categorías rojo y rojo oscuro deben completar el formulario de llegada antes de regresar a la República Checa y, al mismo tiempo, someterse a una prueba de antígeno o PCR antes de regresar si usan el transporte público.  Estas personas también están obligadas a someterse a una prueba de PCR después de regresar a la República Checa, no antes del quinto día y no más tarde del día 14 después de ingresar a la República Checa.  Hasta entonces, es necesario permanecer en autoaislamiento.  En el caso de un viaje a la República Checa en transporte individual, no es necesario realizar una prueba antes del inicio del viaje, pero es </w:t>
      </w:r>
      <w:r>
        <w:rPr>
          <w:rFonts w:eastAsia="Times New Roman"/>
        </w:rPr>
        <w:lastRenderedPageBreak/>
        <w:t>obligatorio someterse a una prueba de PCR no antes del día 5 y no más tarde del día 14 después de entrar en el territorio de la República Checa.  Se requiere autoaislamiento hasta el resultado.</w:t>
      </w:r>
    </w:p>
    <w:p w:rsidR="003153DB" w:rsidRDefault="003153DB" w:rsidP="003153DB">
      <w:pPr>
        <w:spacing w:line="276" w:lineRule="auto"/>
        <w:jc w:val="both"/>
        <w:rPr>
          <w:rFonts w:eastAsia="Times New Roman"/>
        </w:rPr>
      </w:pPr>
    </w:p>
    <w:p w:rsidR="003153DB" w:rsidRDefault="003153DB" w:rsidP="003153DB">
      <w:pPr>
        <w:spacing w:line="276" w:lineRule="auto"/>
        <w:jc w:val="both"/>
        <w:rPr>
          <w:rFonts w:eastAsia="Times New Roman"/>
        </w:rPr>
      </w:pPr>
      <w:r>
        <w:rPr>
          <w:rFonts w:eastAsia="Times New Roman"/>
        </w:rPr>
        <w:t xml:space="preserve">Las condiciones de pruebas y el autoaislamiento al regreso no se aplican a las personas que tienen al menos 14 días después de la vacunación completa (14 días después de la segunda dosis en el caso de un programa de dos dosis, 14 días después de la vacunación en el caso de una vacunación única dosis) o aquellos que han pasado la enfermedad COVID-19.  Todo lo que tienen que hacer es completar el formulario de llegada. </w:t>
      </w:r>
    </w:p>
    <w:p w:rsidR="00A43A79" w:rsidRPr="00A43A79" w:rsidRDefault="00A43A79" w:rsidP="00A43A79">
      <w:pPr>
        <w:jc w:val="both"/>
        <w:rPr>
          <w:rFonts w:eastAsia="Times New Roman"/>
        </w:rPr>
      </w:pPr>
    </w:p>
    <w:p w:rsidR="00A43A79" w:rsidRPr="00A43A79" w:rsidRDefault="00A43A79" w:rsidP="00A43A79">
      <w:pPr>
        <w:jc w:val="both"/>
        <w:rPr>
          <w:rFonts w:eastAsia="Times New Roman"/>
        </w:rPr>
      </w:pPr>
      <w:r w:rsidRPr="00A43A79">
        <w:rPr>
          <w:rFonts w:eastAsia="Times New Roman"/>
        </w:rPr>
        <w:t xml:space="preserve">Debido a la posible </w:t>
      </w:r>
      <w:r w:rsidR="003153DB">
        <w:rPr>
          <w:rFonts w:eastAsia="Times New Roman"/>
        </w:rPr>
        <w:t>difusió</w:t>
      </w:r>
      <w:r w:rsidRPr="00A43A79">
        <w:rPr>
          <w:rFonts w:eastAsia="Times New Roman"/>
        </w:rPr>
        <w:t>n de nuevas variantes del virus, el Min</w:t>
      </w:r>
      <w:r w:rsidR="003153DB">
        <w:rPr>
          <w:rFonts w:eastAsia="Times New Roman"/>
        </w:rPr>
        <w:t xml:space="preserve">isterio de Salud no recomienda </w:t>
      </w:r>
      <w:r w:rsidRPr="00A43A79">
        <w:rPr>
          <w:rFonts w:eastAsia="Times New Roman"/>
        </w:rPr>
        <w:t xml:space="preserve">viajar a países donde exista un riesgo extremo de </w:t>
      </w:r>
      <w:r w:rsidR="003153DB">
        <w:rPr>
          <w:rFonts w:eastAsia="Times New Roman"/>
        </w:rPr>
        <w:t>difusión de</w:t>
      </w:r>
      <w:r w:rsidRPr="00A43A79">
        <w:rPr>
          <w:rFonts w:eastAsia="Times New Roman"/>
        </w:rPr>
        <w:t xml:space="preserve"> estas mutaciones (categoría negra), a menos que sea absolutamente necesario.  Estos incluyen Botswana, Brasil, India, Sudáfrica, Colombia, Lesotho, Malawi, Mozambique, Namibia, Nepal, Paraguay, Perú, Rusia, Swazilandia / Eswatini, Tanzania (incluidos Zanzíbar y Pemba), Túnez, Zambia y Zimbabwe.  En caso de regreso de estos países, las personas que tengan al menos 14 días después de la vacunación completa o las que hayan </w:t>
      </w:r>
      <w:r w:rsidR="003153DB">
        <w:rPr>
          <w:rFonts w:eastAsia="Times New Roman"/>
        </w:rPr>
        <w:t>tenid</w:t>
      </w:r>
      <w:r w:rsidRPr="00A43A79">
        <w:rPr>
          <w:rFonts w:eastAsia="Times New Roman"/>
        </w:rPr>
        <w:t xml:space="preserve">o </w:t>
      </w:r>
      <w:r w:rsidR="003153DB">
        <w:rPr>
          <w:rFonts w:eastAsia="Times New Roman"/>
        </w:rPr>
        <w:t xml:space="preserve"> la enfermedad </w:t>
      </w:r>
      <w:r w:rsidRPr="00A43A79">
        <w:rPr>
          <w:rFonts w:eastAsia="Times New Roman"/>
        </w:rPr>
        <w:t>covid-19 en los últimos 180 días están obligadas a completar el Formulario de llegada, pero no tienen que</w:t>
      </w:r>
      <w:r w:rsidR="003153DB">
        <w:rPr>
          <w:rFonts w:eastAsia="Times New Roman"/>
        </w:rPr>
        <w:t xml:space="preserve"> someterse a pruebas y auto</w:t>
      </w:r>
      <w:r w:rsidRPr="00A43A79">
        <w:rPr>
          <w:rFonts w:eastAsia="Times New Roman"/>
        </w:rPr>
        <w:t>aislamiento.  Para otros, es necesario someterse a una prueba de PCR antes de viajar a la República Checa y luego permanecer en autoaislamiento durante 10 días, terminando con una prueba de PCR negativa.</w:t>
      </w:r>
    </w:p>
    <w:p w:rsidR="00CF3EF8" w:rsidRPr="00A43A79" w:rsidRDefault="00CF3EF8" w:rsidP="00A43A79">
      <w:pPr>
        <w:jc w:val="both"/>
      </w:pPr>
    </w:p>
    <w:sectPr w:rsidR="00CF3EF8" w:rsidRPr="00A43A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5665F"/>
    <w:multiLevelType w:val="hybridMultilevel"/>
    <w:tmpl w:val="B46E7272"/>
    <w:numStyleLink w:val="Odrka"/>
  </w:abstractNum>
  <w:abstractNum w:abstractNumId="1">
    <w:nsid w:val="536637DD"/>
    <w:multiLevelType w:val="hybridMultilevel"/>
    <w:tmpl w:val="B46E7272"/>
    <w:styleLink w:val="Odrka"/>
    <w:lvl w:ilvl="0" w:tplc="FD16E676">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hanging="10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8D8C1FE">
      <w:start w:val="1"/>
      <w:numFmt w:val="bullet"/>
      <w:lvlText w:val="•"/>
      <w:lvlJc w:val="left"/>
      <w:pPr>
        <w:tabs>
          <w:tab w:val="num" w:pos="88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48" w:hanging="10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2" w:tplc="C10EC8D0">
      <w:start w:val="1"/>
      <w:numFmt w:val="bullet"/>
      <w:lvlText w:val="•"/>
      <w:lvlJc w:val="left"/>
      <w:pPr>
        <w:tabs>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10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3" w:tplc="55F28118">
      <w:start w:val="1"/>
      <w:numFmt w:val="bullet"/>
      <w:lvlText w:val="•"/>
      <w:lvlJc w:val="left"/>
      <w:pPr>
        <w:tabs>
          <w:tab w:val="num" w:pos="124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08" w:hanging="10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4" w:tplc="E6586A9A">
      <w:start w:val="1"/>
      <w:numFmt w:val="bullet"/>
      <w:lvlText w:val="•"/>
      <w:lvlJc w:val="left"/>
      <w:pPr>
        <w:tabs>
          <w:tab w:val="left" w:pos="708"/>
          <w:tab w:val="num" w:pos="1428"/>
          <w:tab w:val="left" w:pos="2124"/>
          <w:tab w:val="left" w:pos="2832"/>
          <w:tab w:val="left" w:pos="3540"/>
          <w:tab w:val="left" w:pos="4248"/>
          <w:tab w:val="left" w:pos="4956"/>
          <w:tab w:val="left" w:pos="5664"/>
          <w:tab w:val="left" w:pos="6372"/>
          <w:tab w:val="left" w:pos="7080"/>
          <w:tab w:val="left" w:pos="7788"/>
          <w:tab w:val="left" w:pos="8496"/>
          <w:tab w:val="left" w:pos="9204"/>
        </w:tabs>
        <w:ind w:left="1788" w:hanging="10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5" w:tplc="105C0B04">
      <w:start w:val="1"/>
      <w:numFmt w:val="bullet"/>
      <w:lvlText w:val="•"/>
      <w:lvlJc w:val="left"/>
      <w:pPr>
        <w:tabs>
          <w:tab w:val="left" w:pos="708"/>
          <w:tab w:val="num" w:pos="1608"/>
          <w:tab w:val="left" w:pos="2124"/>
          <w:tab w:val="left" w:pos="2832"/>
          <w:tab w:val="left" w:pos="3540"/>
          <w:tab w:val="left" w:pos="4248"/>
          <w:tab w:val="left" w:pos="4956"/>
          <w:tab w:val="left" w:pos="5664"/>
          <w:tab w:val="left" w:pos="6372"/>
          <w:tab w:val="left" w:pos="7080"/>
          <w:tab w:val="left" w:pos="7788"/>
          <w:tab w:val="left" w:pos="8496"/>
          <w:tab w:val="left" w:pos="9204"/>
        </w:tabs>
        <w:ind w:left="1968" w:hanging="10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6" w:tplc="DBB4309E">
      <w:start w:val="1"/>
      <w:numFmt w:val="bullet"/>
      <w:lvlText w:val="•"/>
      <w:lvlJc w:val="left"/>
      <w:pPr>
        <w:tabs>
          <w:tab w:val="left" w:pos="708"/>
          <w:tab w:val="num" w:pos="1788"/>
          <w:tab w:val="left" w:pos="2124"/>
          <w:tab w:val="left" w:pos="2832"/>
          <w:tab w:val="left" w:pos="3540"/>
          <w:tab w:val="left" w:pos="4248"/>
          <w:tab w:val="left" w:pos="4956"/>
          <w:tab w:val="left" w:pos="5664"/>
          <w:tab w:val="left" w:pos="6372"/>
          <w:tab w:val="left" w:pos="7080"/>
          <w:tab w:val="left" w:pos="7788"/>
          <w:tab w:val="left" w:pos="8496"/>
          <w:tab w:val="left" w:pos="9204"/>
        </w:tabs>
        <w:ind w:left="2148" w:hanging="10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7" w:tplc="9C061648">
      <w:start w:val="1"/>
      <w:numFmt w:val="bullet"/>
      <w:lvlText w:val="•"/>
      <w:lvlJc w:val="left"/>
      <w:pPr>
        <w:tabs>
          <w:tab w:val="left" w:pos="708"/>
          <w:tab w:val="num" w:pos="1968"/>
          <w:tab w:val="left" w:pos="2124"/>
          <w:tab w:val="left" w:pos="2832"/>
          <w:tab w:val="left" w:pos="3540"/>
          <w:tab w:val="left" w:pos="4248"/>
          <w:tab w:val="left" w:pos="4956"/>
          <w:tab w:val="left" w:pos="5664"/>
          <w:tab w:val="left" w:pos="6372"/>
          <w:tab w:val="left" w:pos="7080"/>
          <w:tab w:val="left" w:pos="7788"/>
          <w:tab w:val="left" w:pos="8496"/>
          <w:tab w:val="left" w:pos="9204"/>
        </w:tabs>
        <w:ind w:left="2328" w:hanging="10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8" w:tplc="46A6BFA2">
      <w:start w:val="1"/>
      <w:numFmt w:val="bullet"/>
      <w:lvlText w:val="•"/>
      <w:lvlJc w:val="left"/>
      <w:pPr>
        <w:tabs>
          <w:tab w:val="left" w:pos="708"/>
          <w:tab w:val="left" w:pos="1416"/>
          <w:tab w:val="num" w:pos="2148"/>
          <w:tab w:val="left" w:pos="2832"/>
          <w:tab w:val="left" w:pos="3540"/>
          <w:tab w:val="left" w:pos="4248"/>
          <w:tab w:val="left" w:pos="4956"/>
          <w:tab w:val="left" w:pos="5664"/>
          <w:tab w:val="left" w:pos="6372"/>
          <w:tab w:val="left" w:pos="7080"/>
          <w:tab w:val="left" w:pos="7788"/>
          <w:tab w:val="left" w:pos="8496"/>
          <w:tab w:val="left" w:pos="9204"/>
        </w:tabs>
        <w:ind w:left="2508" w:hanging="10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A79"/>
    <w:rsid w:val="003153DB"/>
    <w:rsid w:val="006139B8"/>
    <w:rsid w:val="00A43A79"/>
    <w:rsid w:val="00C73C53"/>
    <w:rsid w:val="00CF3E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A79"/>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
    <w:name w:val="Text"/>
    <w:rsid w:val="00A43A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s-ES"/>
      <w14:textOutline w14:w="0" w14:cap="flat" w14:cmpd="sng" w14:algn="ctr">
        <w14:noFill/>
        <w14:prstDash w14:val="solid"/>
        <w14:bevel/>
      </w14:textOutline>
    </w:rPr>
  </w:style>
  <w:style w:type="paragraph" w:customStyle="1" w:styleId="Vchoz">
    <w:name w:val="Výchozí"/>
    <w:rsid w:val="00A43A79"/>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es-ES"/>
      <w14:textOutline w14:w="0" w14:cap="flat" w14:cmpd="sng" w14:algn="ctr">
        <w14:noFill/>
        <w14:prstDash w14:val="solid"/>
        <w14:bevel/>
      </w14:textOutline>
    </w:rPr>
  </w:style>
  <w:style w:type="numbering" w:customStyle="1" w:styleId="Odrka">
    <w:name w:val="Odrážka"/>
    <w:rsid w:val="00A43A79"/>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A79"/>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
    <w:name w:val="Text"/>
    <w:rsid w:val="00A43A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s-ES"/>
      <w14:textOutline w14:w="0" w14:cap="flat" w14:cmpd="sng" w14:algn="ctr">
        <w14:noFill/>
        <w14:prstDash w14:val="solid"/>
        <w14:bevel/>
      </w14:textOutline>
    </w:rPr>
  </w:style>
  <w:style w:type="paragraph" w:customStyle="1" w:styleId="Vchoz">
    <w:name w:val="Výchozí"/>
    <w:rsid w:val="00A43A79"/>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es-ES"/>
      <w14:textOutline w14:w="0" w14:cap="flat" w14:cmpd="sng" w14:algn="ctr">
        <w14:noFill/>
        <w14:prstDash w14:val="solid"/>
        <w14:bevel/>
      </w14:textOutline>
    </w:rPr>
  </w:style>
  <w:style w:type="numbering" w:customStyle="1" w:styleId="Odrka">
    <w:name w:val="Odrážka"/>
    <w:rsid w:val="00A43A7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34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D16B4C5705944F8DF9770CBC0E48EF" ma:contentTypeVersion="2" ma:contentTypeDescription="Crear nuevo documento." ma:contentTypeScope="" ma:versionID="d847480749b00359d671aca687d3b01a">
  <xsd:schema xmlns:xsd="http://www.w3.org/2001/XMLSchema" xmlns:xs="http://www.w3.org/2001/XMLSchema" xmlns:p="http://schemas.microsoft.com/office/2006/metadata/properties" xmlns:ns1="http://schemas.microsoft.com/sharepoint/v3" xmlns:ns2="5310af6c-52ab-4645-be42-9da944f68e60" targetNamespace="http://schemas.microsoft.com/office/2006/metadata/properties" ma:root="true" ma:fieldsID="17e60a8264ec97de45b23a933476dea8" ns1:_="" ns2:_="">
    <xsd:import namespace="http://schemas.microsoft.com/sharepoint/v3"/>
    <xsd:import namespace="5310af6c-52ab-4645-be42-9da944f68e6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10af6c-52ab-4645-be42-9da944f68e6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1CC78C-9BCD-46B9-AE63-E72272DED324}"/>
</file>

<file path=customXml/itemProps2.xml><?xml version="1.0" encoding="utf-8"?>
<ds:datastoreItem xmlns:ds="http://schemas.openxmlformats.org/officeDocument/2006/customXml" ds:itemID="{7AD7F3D7-6DDE-48DD-8976-56DA3904D603}"/>
</file>

<file path=customXml/itemProps3.xml><?xml version="1.0" encoding="utf-8"?>
<ds:datastoreItem xmlns:ds="http://schemas.openxmlformats.org/officeDocument/2006/customXml" ds:itemID="{969DBDBD-134C-43D7-B560-565CE43DA218}"/>
</file>

<file path=docProps/app.xml><?xml version="1.0" encoding="utf-8"?>
<Properties xmlns="http://schemas.openxmlformats.org/officeDocument/2006/extended-properties" xmlns:vt="http://schemas.openxmlformats.org/officeDocument/2006/docPropsVTypes">
  <Template>Normal</Template>
  <TotalTime>34</TotalTime>
  <Pages>1</Pages>
  <Words>661</Words>
  <Characters>3639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Mochelova</dc:creator>
  <cp:lastModifiedBy>Natalie Mochelova</cp:lastModifiedBy>
  <cp:revision>3</cp:revision>
  <dcterms:created xsi:type="dcterms:W3CDTF">2021-07-26T07:19:00Z</dcterms:created>
  <dcterms:modified xsi:type="dcterms:W3CDTF">2021-07-26T07:56:00Z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0x010100E6D16B4C5705944F8DF9770CBC0E48EF</vt:lpwstr>
  </property>
</Properties>
</file>